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51" w:rsidRPr="00D8280B" w:rsidRDefault="00DC4151" w:rsidP="00D8280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D8280B">
        <w:rPr>
          <w:rFonts w:ascii="Times New Roman" w:hAnsi="Times New Roman" w:cs="Times New Roman"/>
          <w:sz w:val="28"/>
          <w:szCs w:val="28"/>
          <w:lang w:val="en-CA"/>
        </w:rPr>
        <w:fldChar w:fldCharType="begin"/>
      </w:r>
      <w:r w:rsidRPr="00D8280B">
        <w:rPr>
          <w:rFonts w:ascii="Times New Roman" w:hAnsi="Times New Roman" w:cs="Times New Roman"/>
          <w:sz w:val="28"/>
          <w:szCs w:val="28"/>
          <w:lang w:val="en-CA"/>
        </w:rPr>
        <w:instrText xml:space="preserve"> SEQ CHAPTER \h \r 1</w:instrText>
      </w:r>
      <w:r w:rsidRPr="00D8280B">
        <w:rPr>
          <w:rFonts w:ascii="Times New Roman" w:hAnsi="Times New Roman" w:cs="Times New Roman"/>
          <w:sz w:val="28"/>
          <w:szCs w:val="28"/>
          <w:lang w:val="en-CA"/>
        </w:rPr>
        <w:fldChar w:fldCharType="end"/>
      </w:r>
      <w:r w:rsidRPr="00D8280B">
        <w:rPr>
          <w:rFonts w:ascii="Times New Roman" w:hAnsi="Times New Roman" w:cs="Times New Roman"/>
          <w:b/>
          <w:bCs/>
          <w:sz w:val="28"/>
          <w:szCs w:val="28"/>
        </w:rPr>
        <w:t>8.2</w:t>
      </w:r>
      <w:r w:rsidR="002826BA">
        <w:rPr>
          <w:rFonts w:ascii="Times New Roman" w:hAnsi="Times New Roman" w:cs="Times New Roman"/>
          <w:b/>
          <w:bCs/>
          <w:sz w:val="28"/>
          <w:szCs w:val="28"/>
        </w:rPr>
        <w:t>5</w:t>
      </w:r>
      <w:r w:rsidRPr="00D8280B">
        <w:rPr>
          <w:rFonts w:ascii="Times New Roman" w:hAnsi="Times New Roman" w:cs="Times New Roman"/>
          <w:b/>
          <w:bCs/>
          <w:sz w:val="28"/>
          <w:szCs w:val="28"/>
        </w:rPr>
        <w:t xml:space="preserve">. </w:t>
      </w:r>
      <w:r w:rsidR="005859EB" w:rsidRPr="00D8280B">
        <w:rPr>
          <w:rFonts w:ascii="Times New Roman" w:hAnsi="Times New Roman" w:cs="Times New Roman"/>
          <w:b/>
          <w:bCs/>
          <w:sz w:val="28"/>
          <w:szCs w:val="28"/>
        </w:rPr>
        <w:t>P</w:t>
      </w:r>
      <w:r w:rsidR="005859EB">
        <w:rPr>
          <w:rFonts w:ascii="Times New Roman" w:hAnsi="Times New Roman" w:cs="Times New Roman"/>
          <w:b/>
          <w:bCs/>
          <w:sz w:val="28"/>
          <w:szCs w:val="28"/>
        </w:rPr>
        <w:t>ast</w:t>
      </w:r>
      <w:r w:rsidR="005859EB" w:rsidRPr="00D8280B">
        <w:rPr>
          <w:rFonts w:ascii="Times New Roman" w:hAnsi="Times New Roman" w:cs="Times New Roman"/>
          <w:b/>
          <w:bCs/>
          <w:sz w:val="28"/>
          <w:szCs w:val="28"/>
        </w:rPr>
        <w:t xml:space="preserve"> R</w:t>
      </w:r>
      <w:r w:rsidR="005859EB">
        <w:rPr>
          <w:rFonts w:ascii="Times New Roman" w:hAnsi="Times New Roman" w:cs="Times New Roman"/>
          <w:b/>
          <w:bCs/>
          <w:sz w:val="28"/>
          <w:szCs w:val="28"/>
        </w:rPr>
        <w:t>ecollection</w:t>
      </w:r>
      <w:r w:rsidR="005859EB" w:rsidRPr="00D8280B">
        <w:rPr>
          <w:rFonts w:ascii="Times New Roman" w:hAnsi="Times New Roman" w:cs="Times New Roman"/>
          <w:b/>
          <w:bCs/>
          <w:sz w:val="28"/>
          <w:szCs w:val="28"/>
        </w:rPr>
        <w:t xml:space="preserve"> R</w:t>
      </w:r>
      <w:r w:rsidR="005859EB">
        <w:rPr>
          <w:rFonts w:ascii="Times New Roman" w:hAnsi="Times New Roman" w:cs="Times New Roman"/>
          <w:b/>
          <w:bCs/>
          <w:sz w:val="28"/>
          <w:szCs w:val="28"/>
        </w:rPr>
        <w:t>ecorded</w:t>
      </w:r>
      <w:bookmarkStart w:id="0" w:name="_GoBack"/>
      <w:bookmarkEnd w:id="0"/>
    </w:p>
    <w:p w:rsidR="00DC4151" w:rsidRPr="00D8280B" w:rsidRDefault="00DC4151" w:rsidP="00D8280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DC4151" w:rsidRPr="00D8280B" w:rsidRDefault="00DC4151" w:rsidP="00D8280B">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D8280B">
        <w:rPr>
          <w:rFonts w:ascii="Times New Roman" w:hAnsi="Times New Roman" w:cs="Times New Roman"/>
          <w:b/>
          <w:bCs/>
          <w:sz w:val="28"/>
          <w:szCs w:val="28"/>
        </w:rPr>
        <w:t>A memorandum or record made or adopted by a witness concerning a matter about which that witness had knowledge, but</w:t>
      </w:r>
      <w:r w:rsidRPr="00D8280B">
        <w:rPr>
          <w:rFonts w:ascii="Times New Roman" w:hAnsi="Times New Roman" w:cs="Times New Roman"/>
          <w:sz w:val="28"/>
          <w:szCs w:val="28"/>
        </w:rPr>
        <w:t xml:space="preserve"> </w:t>
      </w:r>
      <w:r w:rsidRPr="00D8280B">
        <w:rPr>
          <w:rFonts w:ascii="Times New Roman" w:hAnsi="Times New Roman" w:cs="Times New Roman"/>
          <w:b/>
          <w:bCs/>
          <w:sz w:val="28"/>
          <w:szCs w:val="28"/>
        </w:rPr>
        <w:t>about which the witness lacks sufficient present recollection to enable the witness to testify fully and accurately, even after reading the memorandum or record, is admissible, provided: (a) the memorandum or record was made or adopted by the witness when the matter was fresh in the witness’s memory and (b) the witness testifies that the memorandum or record correctly represented the witness’s knowledge and recollection when made.</w:t>
      </w:r>
    </w:p>
    <w:p w:rsidR="00DC4151" w:rsidRPr="00D8280B" w:rsidRDefault="00DC4151" w:rsidP="00D8280B">
      <w:pPr>
        <w:pStyle w:val="NoSpacing"/>
        <w:widowControl/>
        <w:tabs>
          <w:tab w:val="left" w:pos="1440"/>
          <w:tab w:val="left" w:pos="2160"/>
          <w:tab w:val="left" w:pos="2880"/>
          <w:tab w:val="left" w:pos="3600"/>
          <w:tab w:val="left" w:pos="4320"/>
          <w:tab w:val="left" w:pos="5040"/>
          <w:tab w:val="left" w:pos="5760"/>
          <w:tab w:val="left" w:pos="6480"/>
          <w:tab w:val="left" w:pos="7198"/>
        </w:tabs>
        <w:ind w:left="1440" w:right="720"/>
        <w:rPr>
          <w:rFonts w:ascii="Times New Roman" w:hAnsi="Times New Roman" w:cs="Times New Roman"/>
          <w:sz w:val="28"/>
          <w:szCs w:val="28"/>
        </w:rPr>
      </w:pPr>
    </w:p>
    <w:p w:rsidR="00DC4151" w:rsidRPr="00D8280B" w:rsidRDefault="00DC4151" w:rsidP="00D8280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D8280B">
        <w:rPr>
          <w:rFonts w:ascii="Times New Roman" w:hAnsi="Times New Roman" w:cs="Times New Roman"/>
          <w:b/>
          <w:bCs/>
          <w:sz w:val="24"/>
          <w:szCs w:val="24"/>
        </w:rPr>
        <w:t>Note</w:t>
      </w:r>
    </w:p>
    <w:p w:rsidR="00DC4151" w:rsidRPr="00D8280B" w:rsidRDefault="00DC4151" w:rsidP="00D8280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p>
    <w:p w:rsidR="00DC4151" w:rsidRPr="00D8280B" w:rsidRDefault="00DC4151" w:rsidP="00D8280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rPr>
      </w:pPr>
      <w:r w:rsidRPr="00D8280B">
        <w:rPr>
          <w:rFonts w:ascii="Times New Roman" w:hAnsi="Times New Roman" w:cs="Times New Roman"/>
          <w:sz w:val="24"/>
          <w:szCs w:val="24"/>
        </w:rPr>
        <w:tab/>
        <w:t xml:space="preserve">This rule is derived from </w:t>
      </w:r>
      <w:r w:rsidRPr="00D8280B">
        <w:rPr>
          <w:rFonts w:ascii="Times New Roman" w:hAnsi="Times New Roman" w:cs="Times New Roman"/>
          <w:i/>
          <w:iCs/>
          <w:sz w:val="24"/>
          <w:szCs w:val="24"/>
        </w:rPr>
        <w:t>People v Taylor</w:t>
      </w:r>
      <w:r w:rsidRPr="00D8280B">
        <w:rPr>
          <w:rFonts w:ascii="Times New Roman" w:hAnsi="Times New Roman" w:cs="Times New Roman"/>
          <w:sz w:val="24"/>
          <w:szCs w:val="24"/>
        </w:rPr>
        <w:t xml:space="preserve"> (80 NY2d 1, 8 [1992] [“(A) memorandum made of a fact known or an event observed in the past of which the witness lacks sufficient present recollection may be received in evidence</w:t>
      </w:r>
      <w:r w:rsidR="001562DA">
        <w:rPr>
          <w:rFonts w:ascii="Times New Roman" w:hAnsi="Times New Roman" w:cs="Times New Roman"/>
          <w:sz w:val="24"/>
          <w:szCs w:val="24"/>
        </w:rPr>
        <w:t xml:space="preserve"> as a supplement to the witness’</w:t>
      </w:r>
      <w:r w:rsidRPr="00D8280B">
        <w:rPr>
          <w:rFonts w:ascii="Times New Roman" w:hAnsi="Times New Roman" w:cs="Times New Roman"/>
          <w:sz w:val="24"/>
          <w:szCs w:val="24"/>
        </w:rPr>
        <w:t>s oral testimony. The requirements for admission of a memorandum of a past recollection are generally stated to be that the witness observed the matter recorded, the recollection was fairly fresh when recorded or adopted, the witness can presently testify that the record correctly represented his knowledge and recollection when made, and the witness lacks sufficient present recollection of the recorded information” (citations omitted)</w:t>
      </w:r>
      <w:r w:rsidR="004C0BA6">
        <w:rPr>
          <w:rFonts w:ascii="Times New Roman" w:hAnsi="Times New Roman" w:cs="Times New Roman"/>
          <w:sz w:val="24"/>
          <w:szCs w:val="24"/>
        </w:rPr>
        <w:t>]</w:t>
      </w:r>
      <w:r w:rsidRPr="00D8280B">
        <w:rPr>
          <w:rFonts w:ascii="Times New Roman" w:hAnsi="Times New Roman" w:cs="Times New Roman"/>
          <w:sz w:val="24"/>
          <w:szCs w:val="24"/>
        </w:rPr>
        <w:t xml:space="preserve">; </w:t>
      </w:r>
      <w:r w:rsidRPr="00D8280B">
        <w:rPr>
          <w:rFonts w:ascii="Times New Roman" w:hAnsi="Times New Roman" w:cs="Times New Roman"/>
          <w:i/>
          <w:iCs/>
          <w:sz w:val="24"/>
          <w:szCs w:val="24"/>
        </w:rPr>
        <w:t xml:space="preserve">see also People v Caprio, </w:t>
      </w:r>
      <w:r w:rsidRPr="00D8280B">
        <w:rPr>
          <w:rFonts w:ascii="Times New Roman" w:hAnsi="Times New Roman" w:cs="Times New Roman"/>
          <w:sz w:val="24"/>
          <w:szCs w:val="24"/>
        </w:rPr>
        <w:t xml:space="preserve">25 AD2d 145, 150 [2d Dept 1966]), </w:t>
      </w:r>
      <w:r w:rsidRPr="00D8280B">
        <w:rPr>
          <w:rFonts w:ascii="Times New Roman" w:hAnsi="Times New Roman" w:cs="Times New Roman"/>
          <w:i/>
          <w:iCs/>
          <w:sz w:val="24"/>
          <w:szCs w:val="24"/>
        </w:rPr>
        <w:t>affd</w:t>
      </w:r>
      <w:r w:rsidRPr="00D8280B">
        <w:rPr>
          <w:rFonts w:ascii="Times New Roman" w:hAnsi="Times New Roman" w:cs="Times New Roman"/>
          <w:sz w:val="24"/>
          <w:szCs w:val="24"/>
        </w:rPr>
        <w:t xml:space="preserve"> 18 NY2d 617 [1966]; </w:t>
      </w:r>
      <w:r w:rsidRPr="00D8280B">
        <w:rPr>
          <w:rFonts w:ascii="Times New Roman" w:hAnsi="Times New Roman" w:cs="Times New Roman"/>
          <w:i/>
          <w:iCs/>
          <w:sz w:val="24"/>
          <w:szCs w:val="24"/>
        </w:rPr>
        <w:t>Halsey v Sinsebaugh,</w:t>
      </w:r>
      <w:r w:rsidR="00D8280B">
        <w:rPr>
          <w:rFonts w:ascii="Times New Roman" w:hAnsi="Times New Roman" w:cs="Times New Roman"/>
          <w:sz w:val="24"/>
          <w:szCs w:val="24"/>
        </w:rPr>
        <w:t xml:space="preserve">15 NY 485 [1857]). </w:t>
      </w:r>
    </w:p>
    <w:sectPr w:rsidR="00DC4151" w:rsidRPr="00D8280B" w:rsidSect="00D8280B">
      <w:headerReference w:type="default" r:id="rId6"/>
      <w:footerReference w:type="default" r:id="rId7"/>
      <w:pgSz w:w="12240" w:h="15840"/>
      <w:pgMar w:top="691" w:right="2160" w:bottom="792" w:left="216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91" w:rsidRDefault="00C55C91">
      <w:r>
        <w:separator/>
      </w:r>
    </w:p>
  </w:endnote>
  <w:endnote w:type="continuationSeparator" w:id="0">
    <w:p w:rsidR="00C55C91" w:rsidRDefault="00C5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51" w:rsidRDefault="00DC4151">
    <w:pPr>
      <w:pStyle w:val="Footer"/>
      <w:widowControl/>
      <w:tabs>
        <w:tab w:val="clear" w:pos="4680"/>
        <w:tab w:val="clear" w:pos="7920"/>
        <w:tab w:val="center" w:pos="5544"/>
        <w:tab w:val="right" w:pos="8784"/>
      </w:tabs>
      <w:ind w:left="864" w:right="86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91" w:rsidRDefault="00C55C91">
      <w:r>
        <w:separator/>
      </w:r>
    </w:p>
  </w:footnote>
  <w:footnote w:type="continuationSeparator" w:id="0">
    <w:p w:rsidR="00C55C91" w:rsidRDefault="00C5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51" w:rsidRDefault="00DC4151">
    <w:pPr>
      <w:widowControl/>
      <w:tabs>
        <w:tab w:val="right" w:pos="8640"/>
      </w:tabs>
      <w:spacing w:line="258" w:lineRule="auto"/>
      <w:ind w:left="864" w:right="864"/>
      <w:rPr>
        <w:rFonts w:ascii="Calibri" w:hAnsi="Calibri" w:cs="Calibri"/>
        <w:sz w:val="22"/>
        <w:szCs w:val="22"/>
      </w:rPr>
    </w:pPr>
    <w:r>
      <w:tab/>
    </w:r>
  </w:p>
  <w:p w:rsidR="00DC4151" w:rsidRDefault="00DC4151">
    <w:pPr>
      <w:widowControl/>
      <w:ind w:left="864" w:right="864"/>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80B"/>
    <w:rsid w:val="000F4274"/>
    <w:rsid w:val="001324CC"/>
    <w:rsid w:val="001562DA"/>
    <w:rsid w:val="0017482E"/>
    <w:rsid w:val="0023039B"/>
    <w:rsid w:val="002826BA"/>
    <w:rsid w:val="004C0BA6"/>
    <w:rsid w:val="005859EB"/>
    <w:rsid w:val="006E62B1"/>
    <w:rsid w:val="007F2711"/>
    <w:rsid w:val="00C55C91"/>
    <w:rsid w:val="00C6295C"/>
    <w:rsid w:val="00D8280B"/>
    <w:rsid w:val="00DC4151"/>
    <w:rsid w:val="00F6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71179"/>
  <w14:defaultImageDpi w14:val="0"/>
  <w15:docId w15:val="{8F01CC6E-317A-4583-B4EB-A303805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Header">
    <w:name w:val="header"/>
    <w:basedOn w:val="Normal"/>
    <w:link w:val="HeaderChar"/>
    <w:uiPriority w:val="99"/>
    <w:unhideWhenUsed/>
    <w:rsid w:val="00D8280B"/>
    <w:pPr>
      <w:tabs>
        <w:tab w:val="center" w:pos="4680"/>
        <w:tab w:val="right" w:pos="9360"/>
      </w:tabs>
    </w:pPr>
  </w:style>
  <w:style w:type="character" w:customStyle="1" w:styleId="HeaderChar">
    <w:name w:val="Header Char"/>
    <w:link w:val="Header"/>
    <w:uiPriority w:val="99"/>
    <w:locked/>
    <w:rsid w:val="00D8280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2017-03-31T17:14:00Z</dcterms:created>
  <dcterms:modified xsi:type="dcterms:W3CDTF">2017-06-16T17:55:00Z</dcterms:modified>
</cp:coreProperties>
</file>